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9" w:rsidRPr="00237E4A" w:rsidRDefault="00AE05BD" w:rsidP="009B52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bookmarkStart w:id="0" w:name="_GoBack"/>
      <w:bookmarkEnd w:id="0"/>
      <w:r w:rsidRPr="00237E4A">
        <w:rPr>
          <w:rFonts w:ascii="Times New Roman CYR" w:hAnsi="Times New Roman CYR" w:cs="Times New Roman CYR"/>
          <w:b/>
          <w:bCs/>
        </w:rPr>
        <w:t>У</w:t>
      </w:r>
      <w:r w:rsidR="009B5279" w:rsidRPr="00237E4A">
        <w:rPr>
          <w:rFonts w:ascii="Times New Roman CYR" w:hAnsi="Times New Roman CYR" w:cs="Times New Roman CYR"/>
          <w:b/>
          <w:bCs/>
        </w:rPr>
        <w:t xml:space="preserve">словия предоставления </w:t>
      </w:r>
    </w:p>
    <w:p w:rsidR="009B5279" w:rsidRPr="00237E4A" w:rsidRDefault="009B5279" w:rsidP="009B52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237E4A">
        <w:rPr>
          <w:rFonts w:ascii="Times New Roman CYR" w:hAnsi="Times New Roman CYR" w:cs="Times New Roman CYR"/>
          <w:b/>
          <w:bCs/>
        </w:rPr>
        <w:t xml:space="preserve">услуги «Перевод с карты на карту» </w:t>
      </w:r>
      <w:r w:rsidR="00AE05BD" w:rsidRPr="00237E4A">
        <w:rPr>
          <w:rFonts w:ascii="Times New Roman CYR" w:hAnsi="Times New Roman CYR" w:cs="Times New Roman CYR"/>
          <w:b/>
          <w:bCs/>
          <w:sz w:val="22"/>
          <w:szCs w:val="22"/>
        </w:rPr>
        <w:t>(публичная оферта</w:t>
      </w:r>
      <w:r w:rsidRPr="00237E4A">
        <w:rPr>
          <w:rFonts w:ascii="Times New Roman CYR" w:hAnsi="Times New Roman CYR" w:cs="Times New Roman CYR"/>
          <w:b/>
          <w:bCs/>
          <w:sz w:val="22"/>
          <w:szCs w:val="22"/>
        </w:rPr>
        <w:t>)</w:t>
      </w:r>
      <w:r w:rsidR="00AF6C0D" w:rsidRPr="00237E4A">
        <w:rPr>
          <w:rFonts w:ascii="Times New Roman CYR" w:hAnsi="Times New Roman CYR" w:cs="Times New Roman CYR"/>
          <w:b/>
          <w:bCs/>
          <w:sz w:val="22"/>
          <w:szCs w:val="22"/>
        </w:rPr>
        <w:t xml:space="preserve"> (далее – Условия)</w:t>
      </w:r>
    </w:p>
    <w:p w:rsidR="009B5279" w:rsidRPr="001B7E4A" w:rsidRDefault="009B5279" w:rsidP="009B5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6600"/>
          <w:sz w:val="22"/>
          <w:szCs w:val="22"/>
        </w:rPr>
      </w:pPr>
      <w:r w:rsidRPr="001B7E4A">
        <w:rPr>
          <w:rFonts w:ascii="Times New Roman CYR" w:hAnsi="Times New Roman CYR" w:cs="Times New Roman CYR"/>
          <w:b/>
          <w:bCs/>
          <w:color w:val="FF6600"/>
          <w:sz w:val="22"/>
          <w:szCs w:val="22"/>
        </w:rPr>
        <w:t xml:space="preserve"> 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ab/>
        <w:t xml:space="preserve">Термины и определения </w:t>
      </w:r>
    </w:p>
    <w:p w:rsidR="009B5279" w:rsidRDefault="009B5279" w:rsidP="009B527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9B5279" w:rsidRDefault="009B5279" w:rsidP="009B5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В настоящем документе термины, написанные с заглавной буквы, имеют следующее значение: </w:t>
      </w:r>
    </w:p>
    <w:p w:rsidR="009B5279" w:rsidRDefault="009B5279" w:rsidP="009B5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Авторизация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процедура запроса и получения Банком ответа на такой запрос в виде разрешения или запрета на проведение операции по Карте от Банка-эмитента Карты или от Платежной системы. </w:t>
      </w:r>
    </w:p>
    <w:p w:rsidR="00447D48" w:rsidRPr="00447D48" w:rsidRDefault="009B5279" w:rsidP="009B5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Банк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–</w:t>
      </w:r>
      <w:r w:rsidR="006B26D0">
        <w:rPr>
          <w:rFonts w:ascii="Times New Roman CYR" w:hAnsi="Times New Roman CYR" w:cs="Times New Roman CYR"/>
          <w:color w:val="000000"/>
          <w:sz w:val="22"/>
          <w:szCs w:val="22"/>
        </w:rPr>
        <w:t xml:space="preserve"> ПАО «</w:t>
      </w:r>
      <w:proofErr w:type="spellStart"/>
      <w:r w:rsidR="006B26D0">
        <w:rPr>
          <w:rFonts w:ascii="Times New Roman CYR" w:hAnsi="Times New Roman CYR" w:cs="Times New Roman CYR"/>
          <w:color w:val="000000"/>
          <w:sz w:val="22"/>
          <w:szCs w:val="22"/>
        </w:rPr>
        <w:t>Совкомбанк</w:t>
      </w:r>
      <w:proofErr w:type="spellEnd"/>
      <w:r w:rsidR="006B26D0">
        <w:rPr>
          <w:rFonts w:ascii="Times New Roman CYR" w:hAnsi="Times New Roman CYR" w:cs="Times New Roman CYR"/>
          <w:color w:val="000000"/>
          <w:sz w:val="22"/>
          <w:szCs w:val="22"/>
        </w:rPr>
        <w:t>»</w:t>
      </w:r>
    </w:p>
    <w:p w:rsidR="009B5279" w:rsidRDefault="009B5279" w:rsidP="009B5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Банк-эмитент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– кредитная организация, осуществляющая эмиссию Карты.</w:t>
      </w:r>
    </w:p>
    <w:p w:rsidR="009B5279" w:rsidRDefault="009B5279" w:rsidP="009B5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Валюта перевода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– рубли РФ.</w:t>
      </w:r>
    </w:p>
    <w:p w:rsidR="009B5279" w:rsidRDefault="009B5279" w:rsidP="009B5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Верификация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– процедура дополнительной проверки Банком и/или Партнером Банка Клиента и Карты отправителя, осуществляемая с целью снижения рисков проведения мошеннической операции по Карте отправителя по Технологии 3DSecure.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Держатель Карты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физическое лицо-владелец Карты, на имя которого Банком или Сторонним банком эмитирована Карта. </w:t>
      </w:r>
    </w:p>
    <w:p w:rsidR="009B5279" w:rsidRPr="00447D48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Интернет-сайт Банка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– совокупность программного обеспечения Банка, а также совокупность информации, способа ее представления и технических средств, дающие возможность пользователям Сети Интернет получить доступ к указанной информации, в том числе сайт Банка в Сети Интернет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Интернет-сайт Партнера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совокупность программного обеспечения Партнера Банка, а также совокупность информации, способа ее представления и технических средств, дающие возможность пользователям Сети Интернет получить доступ к указанной информации. 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Карта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– банковская карта Платежной системы, эмитированная Банком или Сторонним банком, находящи</w:t>
      </w:r>
      <w:r w:rsidR="00720C5A">
        <w:rPr>
          <w:rFonts w:ascii="Times New Roman CYR" w:hAnsi="Times New Roman CYR" w:cs="Times New Roman CYR"/>
          <w:color w:val="000000"/>
          <w:sz w:val="22"/>
          <w:szCs w:val="22"/>
        </w:rPr>
        <w:t>м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ся на территории Российской Федерации.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Карта отправителя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Карта, с использованием данных о реквизитах которой, осуществляется списание денежных средств со Счета Карты отправителя при оказании Услуги.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Карта получателя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Карта, с использованием данных о реквизитах которой, осуществляется перевод денежных средства на Счет Карты получателя при оказании Услуги.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Клиент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физическое лицо - Держатель Карты отправителя, присоединившееся к условиям Договора.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Комиссия </w:t>
      </w:r>
      <w:r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 xml:space="preserve">–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сумма, рассчитанная в Валюте перевода и подлежащая уплате Клиентом в пользу Банка за оказание Услуги в соответствии с тарифами Банка. Комиссия рассчитывается Банком/Партнером Банка и доводится до сведения Держателя Карты отправителя после указания Держателем Карты отправителя параметров Карты отправителя, Карты получателя и Суммы перевода до момента Присоединения к Договору.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Партнер Банка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юридическое лицо, заключившее с Банком договор, на основании которого Держатель Карты отправителя имеет возможность осуществить Присоединение к Договору и воспользоваться Услугой, обратившись в Банк посредством Интернет-сайта Партнера в порядке, установленном Договором.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Платежная система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– международная платежная система Visa 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International</w:t>
      </w:r>
      <w:proofErr w:type="spellEnd"/>
      <w:r w:rsidR="00D01ECB">
        <w:rPr>
          <w:rFonts w:ascii="Times New Roman CYR" w:hAnsi="Times New Roman CYR" w:cs="Times New Roman CYR"/>
          <w:color w:val="000000"/>
          <w:sz w:val="22"/>
          <w:szCs w:val="22"/>
        </w:rPr>
        <w:t>,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или международная платежная система MasterCard 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Worldwide</w:t>
      </w:r>
      <w:proofErr w:type="spellEnd"/>
      <w:r w:rsidR="00D01ECB">
        <w:rPr>
          <w:rFonts w:ascii="Times New Roman CYR" w:hAnsi="Times New Roman CYR" w:cs="Times New Roman CYR"/>
          <w:color w:val="000000"/>
          <w:sz w:val="22"/>
          <w:szCs w:val="22"/>
        </w:rPr>
        <w:t>,</w:t>
      </w:r>
      <w:r w:rsidR="008E2C29">
        <w:rPr>
          <w:rFonts w:ascii="Times New Roman CYR" w:hAnsi="Times New Roman CYR" w:cs="Times New Roman CYR"/>
          <w:color w:val="000000"/>
          <w:sz w:val="22"/>
          <w:szCs w:val="22"/>
        </w:rPr>
        <w:t xml:space="preserve"> или платежная система МИР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Поручение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распоряжение Клиента, поданное в Банк установленным </w:t>
      </w:r>
      <w:r w:rsidR="000F4DFD">
        <w:rPr>
          <w:rFonts w:ascii="Times New Roman CYR" w:hAnsi="Times New Roman CYR" w:cs="Times New Roman CYR"/>
          <w:color w:val="000000"/>
          <w:sz w:val="22"/>
          <w:szCs w:val="22"/>
        </w:rPr>
        <w:t xml:space="preserve">Условиями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способом и содержащее информацию о присоединении к Договору и поручение Клиента к Банку об оказании Услуги на основании введенной Клиентом информации на Интернет сайте Банка/Интернет-сайте Партнера.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Присоединение к Договору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совершение Держателем Карты отправителя указанных в </w:t>
      </w:r>
      <w:r w:rsidR="000F4DFD">
        <w:rPr>
          <w:rFonts w:ascii="Times New Roman CYR" w:hAnsi="Times New Roman CYR" w:cs="Times New Roman CYR"/>
          <w:color w:val="000000"/>
          <w:sz w:val="22"/>
          <w:szCs w:val="22"/>
        </w:rPr>
        <w:t>Условиях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действий, направленных на получение Услуги и подтверждение согласия заключить Договор.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РФ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Российская Федерация.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Сеть Интернет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компьютерная сеть Интернет.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Сторонний банк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Банк-эмитент, являющийся эмитентом Карты, за исключением Банка.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Сумма перевода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сумма денежных средств в Валюте перевода, указанная Держателем Карты отправителя в числе параметров для оказания Услуги.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Счет Карты отправителя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счет, открытый в Банке-эмитенте, в том числе в Банке, по которому в соответствии с требованиями законодательства РФ осуществляются операции по Карте отправителя.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lastRenderedPageBreak/>
        <w:t xml:space="preserve">Счет Карты получателя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счет, открытый в Банке-эмитенте, в том числе в Банке, по которому в соответствии с требованиями законодательства РФ осуществляются операции по Карте получателя.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Стороны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совместное наименование Банка и Клиента. 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Технология 3DSecure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– технология, разработанная Платежными системами для обеспечения повышенной безопасности проведения операций по банковским картам в Сети Интернет. В рамках данной технологии личность Клиента удостоверяется на сервере Банка-эмитента Карты отправителя способом, определяемым таким банком (например, ввод определенного пароля). Стандарт безопасности платежной системы MasterCard 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Worldwide</w:t>
      </w:r>
      <w:proofErr w:type="spell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, поддерживающий технологию 3DSecure, имеет наименование MasterCard SecureCode, стандарт безопасности платежной системы Visa 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International</w:t>
      </w:r>
      <w:proofErr w:type="spellEnd"/>
      <w:r>
        <w:rPr>
          <w:rFonts w:ascii="Times New Roman CYR" w:hAnsi="Times New Roman CYR" w:cs="Times New Roman CYR"/>
          <w:color w:val="000000"/>
          <w:sz w:val="22"/>
          <w:szCs w:val="22"/>
        </w:rPr>
        <w:t>, поддерживающий технологию 3DSecure - Verified by Visa</w:t>
      </w:r>
      <w:r w:rsidR="008E2C29">
        <w:rPr>
          <w:rFonts w:ascii="Times New Roman CYR" w:hAnsi="Times New Roman CYR" w:cs="Times New Roman CYR"/>
          <w:color w:val="000000"/>
          <w:sz w:val="22"/>
          <w:szCs w:val="22"/>
        </w:rPr>
        <w:t xml:space="preserve">, стандарт безопасности платежной системы МИР, поддерживающий технологию 3DSecure - </w:t>
      </w:r>
      <w:r w:rsidR="008E2C29">
        <w:rPr>
          <w:rFonts w:ascii="Times New Roman CYR" w:hAnsi="Times New Roman CYR" w:cs="Times New Roman CYR"/>
          <w:color w:val="000000"/>
          <w:sz w:val="22"/>
          <w:szCs w:val="22"/>
          <w:lang w:val="en-US"/>
        </w:rPr>
        <w:t>MIRAccept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. </w:t>
      </w:r>
    </w:p>
    <w:p w:rsidR="00255F04" w:rsidRDefault="00255F04" w:rsidP="00255F0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Услуга (Перевод с карты на карту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) – услуга по обслуживанию банковских карт физических лиц, поручение на оказание которой подано Клиентом в Банк в соответствии с порядком, изложенным в Условиях, и обеспечивающая возможность осуществления операций, связанных с переводом денежных средств с использованием параметров Карты отправителя и Карты получателя, оказываемая Банком Клиенту в соответствии с Условиями. </w:t>
      </w:r>
    </w:p>
    <w:p w:rsidR="00255F04" w:rsidRDefault="00255F04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ab/>
        <w:t>Общие положения</w:t>
      </w:r>
    </w:p>
    <w:p w:rsidR="009B5279" w:rsidRDefault="009B5279" w:rsidP="009B5279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9B5279" w:rsidRPr="00237E4A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237E4A">
        <w:rPr>
          <w:rFonts w:ascii="Times New Roman CYR" w:hAnsi="Times New Roman CYR" w:cs="Times New Roman CYR"/>
          <w:sz w:val="22"/>
          <w:szCs w:val="22"/>
        </w:rPr>
        <w:t>2.1.</w:t>
      </w:r>
      <w:r w:rsidRPr="00237E4A">
        <w:rPr>
          <w:rFonts w:ascii="Times New Roman CYR" w:hAnsi="Times New Roman CYR" w:cs="Times New Roman CYR"/>
          <w:sz w:val="22"/>
          <w:szCs w:val="22"/>
        </w:rPr>
        <w:tab/>
      </w:r>
      <w:r w:rsidR="00AE05BD" w:rsidRPr="00237E4A">
        <w:rPr>
          <w:rFonts w:ascii="Times New Roman CYR" w:hAnsi="Times New Roman CYR" w:cs="Times New Roman CYR"/>
          <w:sz w:val="22"/>
          <w:szCs w:val="22"/>
        </w:rPr>
        <w:t>Настоящие Условия</w:t>
      </w:r>
      <w:r w:rsidR="00AF6C0D" w:rsidRPr="00237E4A">
        <w:rPr>
          <w:rFonts w:ascii="Times New Roman CYR" w:hAnsi="Times New Roman CYR" w:cs="Times New Roman CYR"/>
          <w:sz w:val="22"/>
          <w:szCs w:val="22"/>
        </w:rPr>
        <w:t xml:space="preserve"> являются</w:t>
      </w:r>
      <w:r w:rsidR="00AE05BD" w:rsidRPr="00237E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AF6C0D" w:rsidRPr="00237E4A">
        <w:rPr>
          <w:rFonts w:ascii="Times New Roman CYR" w:hAnsi="Times New Roman CYR" w:cs="Times New Roman CYR"/>
          <w:sz w:val="22"/>
          <w:szCs w:val="22"/>
        </w:rPr>
        <w:t xml:space="preserve">публичной офертой </w:t>
      </w:r>
      <w:r w:rsidR="00255F04" w:rsidRPr="00237E4A">
        <w:rPr>
          <w:rFonts w:ascii="Times New Roman CYR" w:hAnsi="Times New Roman CYR" w:cs="Times New Roman CYR"/>
          <w:sz w:val="22"/>
          <w:szCs w:val="22"/>
        </w:rPr>
        <w:t>(</w:t>
      </w:r>
      <w:r w:rsidR="00AF6C0D" w:rsidRPr="00237E4A">
        <w:rPr>
          <w:rFonts w:ascii="Times New Roman CYR" w:hAnsi="Times New Roman CYR" w:cs="Times New Roman CYR"/>
          <w:sz w:val="22"/>
          <w:szCs w:val="22"/>
        </w:rPr>
        <w:t>в соответствии со ст. 437 ГК РФ)</w:t>
      </w:r>
      <w:r w:rsidR="00255F04" w:rsidRPr="00237E4A">
        <w:rPr>
          <w:rFonts w:ascii="Times New Roman CYR" w:hAnsi="Times New Roman CYR" w:cs="Times New Roman CYR"/>
          <w:sz w:val="22"/>
          <w:szCs w:val="22"/>
        </w:rPr>
        <w:t>, сделанной Банком</w:t>
      </w:r>
      <w:r w:rsidR="00AF6C0D" w:rsidRPr="00237E4A">
        <w:rPr>
          <w:rFonts w:ascii="Times New Roman CYR" w:hAnsi="Times New Roman CYR" w:cs="Times New Roman CYR"/>
          <w:sz w:val="22"/>
          <w:szCs w:val="22"/>
        </w:rPr>
        <w:t xml:space="preserve"> с целью заключения договора присоединения (в соответствии со ст. 428 ГК РФ) на оказание Услуги Клиенту (далее – Договор). П</w:t>
      </w:r>
      <w:r w:rsidR="00AE05BD" w:rsidRPr="00237E4A">
        <w:rPr>
          <w:rFonts w:ascii="Times New Roman CYR" w:hAnsi="Times New Roman CYR" w:cs="Times New Roman CYR"/>
          <w:sz w:val="22"/>
          <w:szCs w:val="22"/>
        </w:rPr>
        <w:t>осле присоединения Клиента к Договору</w:t>
      </w:r>
      <w:r w:rsidR="00AF6C0D" w:rsidRPr="00237E4A">
        <w:rPr>
          <w:rFonts w:ascii="Times New Roman CYR" w:hAnsi="Times New Roman CYR" w:cs="Times New Roman CYR"/>
          <w:sz w:val="22"/>
          <w:szCs w:val="22"/>
        </w:rPr>
        <w:t>, способом, изложенным в настоящих Условиях, Договор считается заключенным</w:t>
      </w:r>
      <w:r w:rsidRPr="00237E4A">
        <w:rPr>
          <w:rFonts w:ascii="Times New Roman CYR" w:hAnsi="Times New Roman CYR" w:cs="Times New Roman CYR"/>
          <w:sz w:val="22"/>
          <w:szCs w:val="22"/>
        </w:rPr>
        <w:t xml:space="preserve">. Текст </w:t>
      </w:r>
      <w:r w:rsidR="00AF6C0D" w:rsidRPr="00237E4A">
        <w:rPr>
          <w:rFonts w:ascii="Times New Roman CYR" w:hAnsi="Times New Roman CYR" w:cs="Times New Roman CYR"/>
          <w:sz w:val="22"/>
          <w:szCs w:val="22"/>
        </w:rPr>
        <w:t>Условий</w:t>
      </w:r>
      <w:r w:rsidRPr="00237E4A">
        <w:rPr>
          <w:rFonts w:ascii="Times New Roman CYR" w:hAnsi="Times New Roman CYR" w:cs="Times New Roman CYR"/>
          <w:sz w:val="22"/>
          <w:szCs w:val="22"/>
        </w:rPr>
        <w:t xml:space="preserve"> размещен на Интернет-сайте Банка в Сети Интернет по адресу: </w:t>
      </w:r>
      <w:r w:rsidR="00C5230C" w:rsidRPr="00C5230C">
        <w:rPr>
          <w:rFonts w:ascii="Times New Roman CYR" w:hAnsi="Times New Roman CYR" w:cs="Times New Roman CYR"/>
          <w:sz w:val="22"/>
          <w:szCs w:val="22"/>
        </w:rPr>
        <w:t>https://sovcombank.ru/retail/payment_button/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2.2.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Договор действует в отношении одной конкретной Услуги</w:t>
      </w:r>
      <w:r w:rsidR="00793227">
        <w:rPr>
          <w:rFonts w:ascii="Times New Roman CYR" w:hAnsi="Times New Roman CYR" w:cs="Times New Roman CYR"/>
          <w:color w:val="000000"/>
          <w:sz w:val="22"/>
          <w:szCs w:val="22"/>
        </w:rPr>
        <w:t xml:space="preserve"> (осуществление одного перевода денежных средств по Поручению Клиента)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.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2.3.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В отношении оказания Банком Услуги Договор действует до полного исполнения Сторонами обязательств по Договору, а именно: оказания Банком услуги Перевод с карты на карту (зачисления денежных средств Банку – эмитенту Карты получателя) и оплаты Клиентом Банку Комиссии.</w:t>
      </w:r>
    </w:p>
    <w:p w:rsidR="009B5279" w:rsidRDefault="009B5279" w:rsidP="009B527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2.4.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 xml:space="preserve">Фиксация Присоединения к Договору осуществляется Банком/Партнером Банка в электронном виде и хранится в аппаратно-программном комплексе Банка/Партнера Банка. Выписки из аппаратно-программного комплекса Банка/Партнера Банка могут использоваться в качестве доказательств при рассмотрении споров, в том числе в судебном порядке. </w:t>
      </w:r>
    </w:p>
    <w:p w:rsidR="009B5279" w:rsidRDefault="009B5279" w:rsidP="009B5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ab/>
        <w:t xml:space="preserve">Предмет Договора </w:t>
      </w:r>
    </w:p>
    <w:p w:rsidR="009B5279" w:rsidRDefault="009B5279" w:rsidP="009B5279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3.1.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Банк предоставляет Клиенту возможность с помощью Интернет-сайта Банка, Интернет-сайта Партнера воспользоваться Услугой. В процессе оказания Услуги Банк осуществляет следующие действия:</w:t>
      </w:r>
    </w:p>
    <w:p w:rsid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3.1.1.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В случае, если Карта отправителя и Карта получателя выпущены Банком: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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z w:val="22"/>
          <w:szCs w:val="22"/>
        </w:rPr>
        <w:t>принимает и обрабатывает Поручение на перевод денежных средств со Счета Карты отправителя на Счет Карты получателя;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pacing w:val="-1"/>
          <w:sz w:val="22"/>
          <w:szCs w:val="22"/>
        </w:rPr>
        <w:t></w:t>
      </w:r>
      <w:r>
        <w:rPr>
          <w:rFonts w:ascii="Symbol" w:hAnsi="Symbol" w:cs="Symbol"/>
          <w:color w:val="000000"/>
          <w:spacing w:val="-1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осуществляет списание средств со Счета Карты отправителя в размере Суммы перевода и Комиссии;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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осуществляет зачисление средств на Счет Карты получателя в размере Суммы перевода;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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осуществляет составление документов в электронном виде, подтверждающих проведение операции.</w:t>
      </w:r>
    </w:p>
    <w:p w:rsid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3.1.2.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В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 xml:space="preserve"> случае,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если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Карта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отправителя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и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 xml:space="preserve"> Карта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получателя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выпущены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Сторонними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банками: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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z w:val="22"/>
          <w:szCs w:val="22"/>
        </w:rPr>
        <w:t>принимает и обрабатывает Поручение на перевод денежных средств со Счета Карты отправителя на Счет Карты получателя;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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осуществляет составление документов в электронном виде, подтверждающих проведение операции.</w:t>
      </w:r>
    </w:p>
    <w:p w:rsid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>3.1.3.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В случае, если Карта отправителя выпущена Банком, а Карта получателя – Сторонним банком: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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z w:val="22"/>
          <w:szCs w:val="22"/>
        </w:rPr>
        <w:t>принимает и обрабатывает Поручение на перевод денежных средств со Счета Карты отправителя на Счет Карты получателя;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pacing w:val="-1"/>
          <w:sz w:val="22"/>
          <w:szCs w:val="22"/>
        </w:rPr>
        <w:t></w:t>
      </w:r>
      <w:r>
        <w:rPr>
          <w:rFonts w:ascii="Symbol" w:hAnsi="Symbol" w:cs="Symbol"/>
          <w:color w:val="000000"/>
          <w:spacing w:val="-1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2"/>
          <w:szCs w:val="22"/>
        </w:rPr>
        <w:t>осуществляет списание средств со Счета Карты отправителя в размере Суммы перевода и Комиссии;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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осуществляет составление документов в электронном виде, подтверждающих проведение операции.</w:t>
      </w:r>
    </w:p>
    <w:p w:rsid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3.1.4.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В случае, если Карта отправителя выпущена Сторонним банком, а Карта получателя – Банком: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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z w:val="22"/>
          <w:szCs w:val="22"/>
        </w:rPr>
        <w:t>принимает и обрабатывает Поручение на перевод денежных средств со Счета Карты отправителя на Счет Карты получателя;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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осуществляет зачисление средств на Счет Карты получателя в размере Суммы перевода;</w:t>
      </w: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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осуществляет составление документов в электронном виде, подтверждающих проведение операции.</w:t>
      </w:r>
    </w:p>
    <w:p w:rsidR="009B5279" w:rsidRDefault="009B5279" w:rsidP="009B5279">
      <w:pPr>
        <w:autoSpaceDE w:val="0"/>
        <w:autoSpaceDN w:val="0"/>
        <w:adjustRightInd w:val="0"/>
        <w:ind w:firstLine="6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ab/>
        <w:t>Условия оказания Банком Услуги</w:t>
      </w:r>
    </w:p>
    <w:p w:rsidR="009B5279" w:rsidRDefault="009B5279" w:rsidP="009B5279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4.1.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Банк оказывает Клиенту Услугу в соответствии с условиями Договора, требованиями законодательства РФ и правилами Платежных систем в порядке, установленным настоящим Договором, и при одновременном выполнении следующих условий:</w:t>
      </w:r>
    </w:p>
    <w:p w:rsid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4.1.1.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 xml:space="preserve">Наличия у Банка технической возможности для оказания конкретной Услуги; </w:t>
      </w:r>
    </w:p>
    <w:p w:rsid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4.1.2.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 xml:space="preserve">Успешного прохождения Клиентом Верификации; </w:t>
      </w:r>
    </w:p>
    <w:p w:rsid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4.1.3.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Наличия у Банка разрешения на проведение операции по Карте, полученного в результате Авторизации;</w:t>
      </w:r>
    </w:p>
    <w:p w:rsid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4.1.4.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Оплаты Клиентом Комиссии за оказание Банком Услуги в соответствии с условиями Договора;</w:t>
      </w:r>
    </w:p>
    <w:p w:rsid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4.1.5.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>Отсутствия прямых запретов на проведение операций, предусмотренных Договором и договором, на основании которого выпущена и обслуживается такая Карта.</w:t>
      </w:r>
    </w:p>
    <w:p w:rsid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4.2.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 xml:space="preserve">Банк имеет право отказать Клиенту в оказании Услуги в случае невыполнения условий, указанных в п. 4.1. </w:t>
      </w:r>
      <w:r w:rsidR="00986F55">
        <w:rPr>
          <w:rFonts w:ascii="Times New Roman CYR" w:hAnsi="Times New Roman CYR" w:cs="Times New Roman CYR"/>
          <w:color w:val="000000"/>
          <w:sz w:val="22"/>
          <w:szCs w:val="22"/>
        </w:rPr>
        <w:t>Условий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, а также в случае, если запрет или ограничение на проведение операций по Карте установлены Банком-эмитентом и/или Платежной системой и/или законодательством РФ. </w:t>
      </w:r>
    </w:p>
    <w:p w:rsid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4.3.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 xml:space="preserve">Банк имеет право отказать Клиенту в оказании Услуги в одностороннем порядке и без объяснения причин, в том числе в случае выявления операций Клиента, содержащих в соответствии с нормативными правовыми актами Банка России признаки необычных операций, либо операций, несущих репутационные риски для Банка, а также, если у Банка возникли подозрения в том, что операция осуществляется с нарушением требований законодательства РФ, правил Платежных систем или носит мошеннический характер. 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4.4.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ab/>
        <w:t xml:space="preserve">За оказание Услуги Банк взимает с Клиента Комиссию. Комиссия рассчитывается от Суммы перевода и включается в общую сумму 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авторизационного</w:t>
      </w:r>
      <w:proofErr w:type="spell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запроса, проводимого по Карте отправителя, и подлежит списанию без дополнительных распоряжений Клиента (Клиент заранее дает акцепт) со Счета Карты отправителя сверх Суммы перевода в дату списания со Счета Карты отправителя Суммы перевода. При отсутствии на момент проведения Авторизации на Счете Карты отправителя суммы</w:t>
      </w:r>
      <w:r w:rsidRPr="009B5279">
        <w:rPr>
          <w:color w:val="000000"/>
          <w:sz w:val="22"/>
          <w:szCs w:val="22"/>
        </w:rPr>
        <w:t>, достаточной для оказания Услуги и оплаты Комиссии, Банк не принимает к обработке Поручение Клиента и не оказывает Услугу.  Сумма Комиссии, а также итоговая сумма – Сумма перевода и Комиссии выводятся на экран в Валюте перевода в соответствующих графах на экранной форме Интернет-сайта Банка/Интернет-сайта Партнера до Присоединения к Договору.</w:t>
      </w:r>
    </w:p>
    <w:p w:rsidR="009B5279" w:rsidRPr="001B7E4A" w:rsidRDefault="009B5279" w:rsidP="009B527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1B7E4A">
        <w:rPr>
          <w:sz w:val="22"/>
          <w:szCs w:val="22"/>
        </w:rPr>
        <w:t xml:space="preserve">Клиент подтверждает, что он согласен с правом Банка на списание с его Счета Карты отправителя денежных средств в целях исполнения обязательств Клиента по Договору, что является заранее данным акцептом Клиента. </w:t>
      </w:r>
    </w:p>
    <w:p w:rsidR="009B5279" w:rsidRPr="009B5279" w:rsidRDefault="009B5279" w:rsidP="009B5279">
      <w:pPr>
        <w:autoSpaceDE w:val="0"/>
        <w:autoSpaceDN w:val="0"/>
        <w:adjustRightInd w:val="0"/>
        <w:ind w:left="720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4.5.</w:t>
      </w:r>
      <w:r w:rsidRPr="009B5279">
        <w:rPr>
          <w:color w:val="000000"/>
          <w:sz w:val="22"/>
          <w:szCs w:val="22"/>
        </w:rPr>
        <w:tab/>
        <w:t xml:space="preserve">Если валюта Счета Карты отправителя и/или Счета Карты получателя отлична от Валюты перевода, конвертация в валюту Счета Карты Суммы перевода и Комиссии, включаемой в </w:t>
      </w:r>
      <w:proofErr w:type="spellStart"/>
      <w:r w:rsidRPr="009B5279">
        <w:rPr>
          <w:color w:val="000000"/>
          <w:sz w:val="22"/>
          <w:szCs w:val="22"/>
        </w:rPr>
        <w:t>авторизационный</w:t>
      </w:r>
      <w:proofErr w:type="spellEnd"/>
      <w:r w:rsidRPr="009B5279">
        <w:rPr>
          <w:color w:val="000000"/>
          <w:sz w:val="22"/>
          <w:szCs w:val="22"/>
        </w:rPr>
        <w:t xml:space="preserve"> запрос, осуществляется Банком-эмитентом такой Карты в соответствии с правилами и условиями, установленными таким Банком-эмитентом.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4.6.</w:t>
      </w:r>
      <w:r w:rsidRPr="009B5279">
        <w:rPr>
          <w:color w:val="000000"/>
          <w:sz w:val="22"/>
          <w:szCs w:val="22"/>
        </w:rPr>
        <w:tab/>
        <w:t xml:space="preserve">Услуга считается оказанной Банком Клиенту в случае, когда Банком получено разрешение на проведение операции по Карте в результате Авторизации, и Банком выполнены действия по оказанию Услуги, указанные в п. 3.1 </w:t>
      </w:r>
      <w:r w:rsidR="00986F55">
        <w:rPr>
          <w:color w:val="000000"/>
          <w:sz w:val="22"/>
          <w:szCs w:val="22"/>
        </w:rPr>
        <w:t>Условий</w:t>
      </w:r>
      <w:r w:rsidRPr="009B5279">
        <w:rPr>
          <w:color w:val="000000"/>
          <w:sz w:val="22"/>
          <w:szCs w:val="22"/>
        </w:rPr>
        <w:t xml:space="preserve">. 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4.7.</w:t>
      </w:r>
      <w:r w:rsidRPr="009B5279">
        <w:rPr>
          <w:color w:val="000000"/>
          <w:sz w:val="22"/>
          <w:szCs w:val="22"/>
        </w:rPr>
        <w:tab/>
        <w:t>Банк/Партнер Банка информирует Клиента о результате оказания Услуги путем вывода сообщения с результатом оказания Услуги на экранную форму Интернет-сайта Банка/Интернет-сайта Партнера.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4.8.</w:t>
      </w:r>
      <w:r w:rsidRPr="009B5279">
        <w:rPr>
          <w:color w:val="000000"/>
          <w:sz w:val="22"/>
          <w:szCs w:val="22"/>
        </w:rPr>
        <w:tab/>
        <w:t>Срок зачисления средств на Счет Карты получателя по оказанной Услуге зависит от Банка-эмитента Карты получателя, и может составлять от нескольких минут до 3 (трех) рабочих дней.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4.9.</w:t>
      </w:r>
      <w:r w:rsidRPr="009B5279">
        <w:rPr>
          <w:color w:val="000000"/>
          <w:sz w:val="22"/>
          <w:szCs w:val="22"/>
        </w:rPr>
        <w:tab/>
        <w:t xml:space="preserve"> Банк не несет ответственности в случаях, когда зачисление средств на Счет Карты получателя осуществлено с нарушениями сроков и иных требований, установленных правилами Платежных систем, Договором и законодательством РФ по вине Стороннего банка.</w:t>
      </w:r>
    </w:p>
    <w:p w:rsidR="009B5279" w:rsidRPr="009B5279" w:rsidRDefault="009B5279" w:rsidP="009B5279">
      <w:pPr>
        <w:tabs>
          <w:tab w:val="left" w:pos="851"/>
        </w:tabs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4.10.</w:t>
      </w:r>
      <w:r w:rsidRPr="009B5279">
        <w:rPr>
          <w:color w:val="000000"/>
          <w:sz w:val="22"/>
          <w:szCs w:val="22"/>
        </w:rPr>
        <w:tab/>
        <w:t>Банк не несет ответственности за ошибки, допущенные Клиентом при оформлении Услуги в момент ввода параметров операции и приведшие к переводу денежных средств в некорректной Сумме перевода или по некорректным реквизитам. В указанных случаях Услуга считается оказанной Банком Клиенту надлежащим образом и в полном соответствии с Договором, и Клиент самостоятельно урегулирует дальнейшие взаиморасчеты с физическим лицом, на счет которого поступили денежные средства в результате оказания Услуги.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4.11.</w:t>
      </w:r>
      <w:r w:rsidR="0030347B">
        <w:rPr>
          <w:color w:val="000000"/>
          <w:sz w:val="22"/>
          <w:szCs w:val="22"/>
        </w:rPr>
        <w:t> </w:t>
      </w:r>
      <w:r w:rsidRPr="009B5279">
        <w:rPr>
          <w:color w:val="000000"/>
          <w:sz w:val="22"/>
          <w:szCs w:val="22"/>
        </w:rPr>
        <w:t>Держатель Карты отправителя имеет возможность отказаться от получения Услуги в любой момент до Присоединения к Договору. При этом перевод денежных средств со Счета Карты отправителя на Счет Карты получателя не производится, Комиссия Банка не взимается.</w:t>
      </w:r>
    </w:p>
    <w:p w:rsidR="009B5279" w:rsidRPr="009B5279" w:rsidRDefault="009B5279" w:rsidP="009B5279">
      <w:pPr>
        <w:autoSpaceDE w:val="0"/>
        <w:autoSpaceDN w:val="0"/>
        <w:adjustRightInd w:val="0"/>
        <w:ind w:left="765"/>
        <w:jc w:val="both"/>
        <w:rPr>
          <w:color w:val="000000"/>
          <w:sz w:val="22"/>
          <w:szCs w:val="22"/>
        </w:rPr>
      </w:pPr>
    </w:p>
    <w:p w:rsidR="009B5279" w:rsidRP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b/>
          <w:bCs/>
          <w:color w:val="000000"/>
          <w:sz w:val="22"/>
          <w:szCs w:val="22"/>
        </w:rPr>
      </w:pPr>
      <w:r w:rsidRPr="009B5279">
        <w:rPr>
          <w:b/>
          <w:bCs/>
          <w:color w:val="000000"/>
          <w:sz w:val="22"/>
          <w:szCs w:val="22"/>
        </w:rPr>
        <w:t>5.</w:t>
      </w:r>
      <w:r w:rsidRPr="009B5279">
        <w:rPr>
          <w:b/>
          <w:bCs/>
          <w:color w:val="000000"/>
          <w:sz w:val="22"/>
          <w:szCs w:val="22"/>
        </w:rPr>
        <w:tab/>
        <w:t>Порядок оказания Услуги</w:t>
      </w:r>
    </w:p>
    <w:p w:rsidR="009B5279" w:rsidRPr="009B5279" w:rsidRDefault="009B5279" w:rsidP="009B5279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2"/>
          <w:szCs w:val="22"/>
        </w:rPr>
      </w:pP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5.1.</w:t>
      </w:r>
      <w:r w:rsidRPr="009B5279">
        <w:rPr>
          <w:color w:val="000000"/>
          <w:sz w:val="22"/>
          <w:szCs w:val="22"/>
        </w:rPr>
        <w:tab/>
        <w:t>Банк предоставляет Держателю Карты отправителя возможность воспользоваться Услугой на Интернет-сайте Банка/Интернет-сайте Партнера.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5.2.</w:t>
      </w:r>
      <w:r w:rsidRPr="009B5279">
        <w:rPr>
          <w:color w:val="000000"/>
          <w:sz w:val="22"/>
          <w:szCs w:val="22"/>
        </w:rPr>
        <w:tab/>
        <w:t>Держатель Карты отправителя указывает/выбирает параметры операции, в соответствии с которым Банк должен оказать Услугу, а именно:</w:t>
      </w:r>
    </w:p>
    <w:p w:rsidR="009B5279" w:rsidRP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</w:t>
      </w:r>
      <w:r w:rsidRPr="009B5279">
        <w:rPr>
          <w:color w:val="000000"/>
          <w:sz w:val="22"/>
          <w:szCs w:val="22"/>
        </w:rPr>
        <w:tab/>
        <w:t>номер Карты отправителя;</w:t>
      </w:r>
    </w:p>
    <w:p w:rsidR="009B5279" w:rsidRP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</w:t>
      </w:r>
      <w:r w:rsidRPr="009B5279">
        <w:rPr>
          <w:color w:val="000000"/>
          <w:sz w:val="22"/>
          <w:szCs w:val="22"/>
        </w:rPr>
        <w:tab/>
        <w:t>срок действия Карты отправителя;</w:t>
      </w:r>
    </w:p>
    <w:p w:rsidR="009B5279" w:rsidRP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</w:t>
      </w:r>
      <w:r w:rsidRPr="009B5279">
        <w:rPr>
          <w:color w:val="000000"/>
          <w:sz w:val="22"/>
          <w:szCs w:val="22"/>
        </w:rPr>
        <w:tab/>
        <w:t>номер Карты получателя;</w:t>
      </w:r>
    </w:p>
    <w:p w:rsidR="009B5279" w:rsidRP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</w:t>
      </w:r>
      <w:r w:rsidRPr="009B5279">
        <w:rPr>
          <w:color w:val="000000"/>
          <w:sz w:val="22"/>
          <w:szCs w:val="22"/>
        </w:rPr>
        <w:tab/>
        <w:t>сумму перевода;</w:t>
      </w:r>
    </w:p>
    <w:p w:rsidR="009B5279" w:rsidRP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</w:t>
      </w:r>
      <w:r w:rsidRPr="009B5279">
        <w:rPr>
          <w:color w:val="000000"/>
          <w:sz w:val="22"/>
          <w:szCs w:val="22"/>
        </w:rPr>
        <w:tab/>
        <w:t xml:space="preserve">иные параметры, если они запрошены Банком/Партнером Банка. 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5.3.</w:t>
      </w:r>
      <w:r w:rsidRPr="009B5279">
        <w:rPr>
          <w:color w:val="000000"/>
          <w:sz w:val="22"/>
          <w:szCs w:val="22"/>
        </w:rPr>
        <w:tab/>
        <w:t xml:space="preserve">Банк осуществляет расчет суммы Комиссии, которая выводится в соответствующей графе экранной формы Интернет-сайта Банка/Интернет-сайта Партнера в Валюте перевода. 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5.4.</w:t>
      </w:r>
      <w:r w:rsidRPr="009B5279">
        <w:rPr>
          <w:color w:val="000000"/>
          <w:sz w:val="22"/>
          <w:szCs w:val="22"/>
        </w:rPr>
        <w:tab/>
        <w:t>Держатель Карты отправителя осуществляет проверку параметров перевода, в том числе корректность указания номеров Карт, Суммы перевода и расчета Комиссии, и подтверждает свое желание получить Услугу с параметрами, выведенными на экранной форме, путем нажатия на кнопку «</w:t>
      </w:r>
      <w:r w:rsidRPr="009B5279">
        <w:rPr>
          <w:i/>
          <w:iCs/>
          <w:color w:val="000000"/>
          <w:sz w:val="22"/>
          <w:szCs w:val="22"/>
        </w:rPr>
        <w:t>Совершить перевод</w:t>
      </w:r>
      <w:r w:rsidRPr="009B5279">
        <w:rPr>
          <w:color w:val="000000"/>
          <w:sz w:val="22"/>
          <w:szCs w:val="22"/>
        </w:rPr>
        <w:t>». При этом фраза в кавычках может отличаться от указанного текста, но быть аналогична по смыслу. С момента нажатия на соответствующую кнопку, Договор считается заключенным (осуществлено Присоединение к Договору), а Держатель Карты отправителя становится Клиентом. После подтверждения параметров Услуги и Верификации, Клиент не имеет возможности отказаться от получения заказанной Услуги.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5.5.</w:t>
      </w:r>
      <w:r w:rsidRPr="009B5279">
        <w:rPr>
          <w:color w:val="000000"/>
          <w:sz w:val="22"/>
          <w:szCs w:val="22"/>
        </w:rPr>
        <w:tab/>
        <w:t xml:space="preserve">Присоединением к Договору Клиент подтверждает факт того, что Клиент дает Банку согласие на обработку персональных данных Клиента согласно п. 6.1.5 </w:t>
      </w:r>
      <w:r w:rsidR="00986F55">
        <w:rPr>
          <w:color w:val="000000"/>
          <w:sz w:val="22"/>
          <w:szCs w:val="22"/>
        </w:rPr>
        <w:t>Условий</w:t>
      </w:r>
      <w:r w:rsidRPr="009B5279">
        <w:rPr>
          <w:color w:val="000000"/>
          <w:sz w:val="22"/>
          <w:szCs w:val="22"/>
        </w:rPr>
        <w:t>.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5.6.</w:t>
      </w:r>
      <w:r w:rsidRPr="009B5279">
        <w:rPr>
          <w:color w:val="000000"/>
          <w:sz w:val="22"/>
          <w:szCs w:val="22"/>
        </w:rPr>
        <w:tab/>
        <w:t>Банк на основании параметров, указанных Клиентом, осуществляет их проверку на соответствие условиям раздела 4 и оказывает Услугу.</w:t>
      </w:r>
    </w:p>
    <w:p w:rsidR="009B5279" w:rsidRPr="009B5279" w:rsidRDefault="009B5279" w:rsidP="009B52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B5279" w:rsidRP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b/>
          <w:bCs/>
          <w:color w:val="000000"/>
          <w:sz w:val="22"/>
          <w:szCs w:val="22"/>
        </w:rPr>
      </w:pPr>
      <w:r w:rsidRPr="009B5279">
        <w:rPr>
          <w:b/>
          <w:bCs/>
          <w:color w:val="000000"/>
          <w:sz w:val="22"/>
          <w:szCs w:val="22"/>
        </w:rPr>
        <w:t>6.</w:t>
      </w:r>
      <w:r w:rsidRPr="009B5279">
        <w:rPr>
          <w:b/>
          <w:bCs/>
          <w:color w:val="000000"/>
          <w:sz w:val="22"/>
          <w:szCs w:val="22"/>
        </w:rPr>
        <w:tab/>
        <w:t xml:space="preserve">Права и обязанности Сторон </w:t>
      </w:r>
    </w:p>
    <w:p w:rsidR="009B5279" w:rsidRPr="009B5279" w:rsidRDefault="009B5279" w:rsidP="009B5279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6.1.</w:t>
      </w:r>
      <w:r w:rsidRPr="009B5279">
        <w:rPr>
          <w:color w:val="000000"/>
          <w:sz w:val="22"/>
          <w:szCs w:val="22"/>
        </w:rPr>
        <w:tab/>
        <w:t xml:space="preserve">Банк вправе: 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6.1.1.</w:t>
      </w:r>
      <w:r w:rsidRPr="009B5279">
        <w:rPr>
          <w:color w:val="000000"/>
          <w:sz w:val="22"/>
          <w:szCs w:val="22"/>
        </w:rPr>
        <w:tab/>
        <w:t>Требовать от Клиента неукоснительного соблюдения условий Договора и оплаты Комиссии за оказание Услуги.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6.1.2.</w:t>
      </w:r>
      <w:r w:rsidRPr="009B5279">
        <w:rPr>
          <w:color w:val="000000"/>
          <w:sz w:val="22"/>
          <w:szCs w:val="22"/>
        </w:rPr>
        <w:tab/>
        <w:t xml:space="preserve">Отказать Клиенту в оказании Услуги по основаниям, установленным Договором и/или законодательством РФ. </w:t>
      </w:r>
    </w:p>
    <w:p w:rsidR="009B5279" w:rsidRPr="001B7E4A" w:rsidRDefault="009B5279" w:rsidP="009B5279">
      <w:pPr>
        <w:autoSpaceDE w:val="0"/>
        <w:autoSpaceDN w:val="0"/>
        <w:adjustRightInd w:val="0"/>
        <w:ind w:left="1080" w:hanging="720"/>
        <w:jc w:val="both"/>
        <w:rPr>
          <w:sz w:val="22"/>
          <w:szCs w:val="22"/>
        </w:rPr>
      </w:pPr>
      <w:r w:rsidRPr="009B5279">
        <w:rPr>
          <w:color w:val="000000"/>
          <w:sz w:val="22"/>
          <w:szCs w:val="22"/>
        </w:rPr>
        <w:t>6.1.3.</w:t>
      </w:r>
      <w:r w:rsidRPr="009B5279">
        <w:rPr>
          <w:color w:val="000000"/>
          <w:sz w:val="22"/>
          <w:szCs w:val="22"/>
        </w:rPr>
        <w:tab/>
      </w:r>
      <w:r w:rsidRPr="001B7E4A">
        <w:rPr>
          <w:sz w:val="22"/>
          <w:szCs w:val="22"/>
        </w:rPr>
        <w:t xml:space="preserve">Вносить изменения в </w:t>
      </w:r>
      <w:r w:rsidR="00986F55" w:rsidRPr="001B7E4A">
        <w:rPr>
          <w:sz w:val="22"/>
          <w:szCs w:val="22"/>
        </w:rPr>
        <w:t>Условия</w:t>
      </w:r>
      <w:r w:rsidRPr="001B7E4A">
        <w:rPr>
          <w:sz w:val="22"/>
          <w:szCs w:val="22"/>
        </w:rPr>
        <w:t xml:space="preserve"> в одностороннем порядке. При этом внесенные изменения становятся обязательными для Банка и Клиента с момента их размещения Банком на Интернет-сайте Банка и применяются к Услугам, оказываемым Банком после размещения изменений в </w:t>
      </w:r>
      <w:r w:rsidR="00986F55" w:rsidRPr="001B7E4A">
        <w:rPr>
          <w:sz w:val="22"/>
          <w:szCs w:val="22"/>
        </w:rPr>
        <w:t>Условия</w:t>
      </w:r>
      <w:r w:rsidRPr="001B7E4A">
        <w:rPr>
          <w:sz w:val="22"/>
          <w:szCs w:val="22"/>
        </w:rPr>
        <w:t xml:space="preserve"> на Интернет-сайте Банка.</w:t>
      </w:r>
    </w:p>
    <w:p w:rsidR="009B5279" w:rsidRPr="001B7E4A" w:rsidRDefault="009B5279" w:rsidP="009B5279">
      <w:pPr>
        <w:autoSpaceDE w:val="0"/>
        <w:autoSpaceDN w:val="0"/>
        <w:adjustRightInd w:val="0"/>
        <w:ind w:left="1080" w:hanging="720"/>
        <w:jc w:val="both"/>
        <w:rPr>
          <w:sz w:val="22"/>
          <w:szCs w:val="22"/>
        </w:rPr>
      </w:pPr>
      <w:r w:rsidRPr="001B7E4A">
        <w:rPr>
          <w:sz w:val="22"/>
          <w:szCs w:val="22"/>
        </w:rPr>
        <w:t>6.1.4.</w:t>
      </w:r>
      <w:r w:rsidRPr="001B7E4A">
        <w:rPr>
          <w:sz w:val="22"/>
          <w:szCs w:val="22"/>
        </w:rPr>
        <w:tab/>
        <w:t xml:space="preserve">Изменять в одностороннем порядке значения Комиссии за оказание Услуги. При этом действующий размер Комиссии всегда доводится до сведения Клиента </w:t>
      </w:r>
      <w:r w:rsidR="00162D05" w:rsidRPr="001B7E4A">
        <w:rPr>
          <w:sz w:val="22"/>
          <w:szCs w:val="22"/>
        </w:rPr>
        <w:t xml:space="preserve">до момента оказания Услуги </w:t>
      </w:r>
      <w:r w:rsidRPr="001B7E4A">
        <w:rPr>
          <w:sz w:val="22"/>
          <w:szCs w:val="22"/>
        </w:rPr>
        <w:t xml:space="preserve">в порядке, установленном п. 4.4 </w:t>
      </w:r>
      <w:r w:rsidR="00986F55" w:rsidRPr="001B7E4A">
        <w:rPr>
          <w:sz w:val="22"/>
          <w:szCs w:val="22"/>
        </w:rPr>
        <w:t>Условий</w:t>
      </w:r>
      <w:r w:rsidRPr="001B7E4A">
        <w:rPr>
          <w:sz w:val="22"/>
          <w:szCs w:val="22"/>
        </w:rPr>
        <w:t>.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6.1.5.</w:t>
      </w:r>
      <w:r w:rsidRPr="009B5279">
        <w:rPr>
          <w:color w:val="000000"/>
          <w:sz w:val="22"/>
          <w:szCs w:val="22"/>
        </w:rPr>
        <w:tab/>
        <w:t>Банк имеет право на обработку любой информации, относящейся к персональным данным Клиента, с использованием средств автоматизации или без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предоставленных Банку в связи с заключением Договора, и иные действия, предусмотренные Федеральным законом от 27.07.2006 № 152-ФЗ "О персональных данных".</w:t>
      </w:r>
    </w:p>
    <w:p w:rsidR="009B5279" w:rsidRPr="009B5279" w:rsidRDefault="009B5279" w:rsidP="009B5279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6.2.</w:t>
      </w:r>
      <w:r w:rsidRPr="009B5279">
        <w:rPr>
          <w:color w:val="000000"/>
          <w:sz w:val="22"/>
          <w:szCs w:val="22"/>
        </w:rPr>
        <w:tab/>
        <w:t xml:space="preserve">Банк обязуется: 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6.2.1.</w:t>
      </w:r>
      <w:r w:rsidRPr="009B5279">
        <w:rPr>
          <w:color w:val="000000"/>
          <w:sz w:val="22"/>
          <w:szCs w:val="22"/>
        </w:rPr>
        <w:tab/>
        <w:t>Оказывать Услугу в объеме и сроки, установленные Договором.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6.2.2.</w:t>
      </w:r>
      <w:r w:rsidRPr="009B5279">
        <w:rPr>
          <w:color w:val="000000"/>
          <w:sz w:val="22"/>
          <w:szCs w:val="22"/>
        </w:rPr>
        <w:tab/>
        <w:t xml:space="preserve">Размещать актуальную версию </w:t>
      </w:r>
      <w:r w:rsidR="00986F55">
        <w:rPr>
          <w:color w:val="000000"/>
          <w:sz w:val="22"/>
          <w:szCs w:val="22"/>
        </w:rPr>
        <w:t>Условий</w:t>
      </w:r>
      <w:r w:rsidRPr="009B5279">
        <w:rPr>
          <w:color w:val="000000"/>
          <w:sz w:val="22"/>
          <w:szCs w:val="22"/>
        </w:rPr>
        <w:t xml:space="preserve"> на Интернет-сайте Банка.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6.2.3.</w:t>
      </w:r>
      <w:r w:rsidRPr="009B5279">
        <w:rPr>
          <w:color w:val="000000"/>
          <w:sz w:val="22"/>
          <w:szCs w:val="22"/>
        </w:rPr>
        <w:tab/>
        <w:t>Хранить банковскую тайну по операциям Клиента, совершенным с использованием Карт, и сведениям о Клиенте. Информация по операциям с использованием Карт и сведениям о Клиенте может быть предоставлена Банком третьим лицам в случаях, предусмотренных законодательством РФ.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6.2.4.</w:t>
      </w:r>
      <w:r w:rsidRPr="009B5279">
        <w:rPr>
          <w:color w:val="000000"/>
          <w:sz w:val="22"/>
          <w:szCs w:val="22"/>
        </w:rPr>
        <w:tab/>
        <w:t>Рассматривать претензии Клиентов по качеству оказанной Услуги.</w:t>
      </w:r>
    </w:p>
    <w:p w:rsidR="009B5279" w:rsidRPr="009B5279" w:rsidRDefault="009B5279" w:rsidP="009B5279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 xml:space="preserve"> 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6.3.</w:t>
      </w:r>
      <w:r w:rsidRPr="009B5279">
        <w:rPr>
          <w:color w:val="000000"/>
          <w:sz w:val="22"/>
          <w:szCs w:val="22"/>
        </w:rPr>
        <w:tab/>
        <w:t>Клиент вправе: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6.3.1.</w:t>
      </w:r>
      <w:r w:rsidRPr="009B5279">
        <w:rPr>
          <w:color w:val="000000"/>
          <w:sz w:val="22"/>
          <w:szCs w:val="22"/>
        </w:rPr>
        <w:tab/>
        <w:t xml:space="preserve">Ознакомиться на Интернет-сайте Банка с действующей редакцией </w:t>
      </w:r>
      <w:r w:rsidR="00986F55">
        <w:rPr>
          <w:color w:val="000000"/>
          <w:sz w:val="22"/>
          <w:szCs w:val="22"/>
        </w:rPr>
        <w:t>Условий</w:t>
      </w:r>
      <w:r w:rsidRPr="009B5279">
        <w:rPr>
          <w:color w:val="000000"/>
          <w:sz w:val="22"/>
          <w:szCs w:val="22"/>
        </w:rPr>
        <w:t xml:space="preserve">. 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6.3.2.</w:t>
      </w:r>
      <w:r w:rsidRPr="009B5279">
        <w:rPr>
          <w:color w:val="000000"/>
          <w:sz w:val="22"/>
          <w:szCs w:val="22"/>
        </w:rPr>
        <w:tab/>
        <w:t xml:space="preserve">Обратиться в информационный центр Банка для получения консультаций и иной помощи при возникновении вопросов, связанных с оказанием Услуги. Номер телефона информационного центра Банка размещен на Интернет-сайте Банка/Партнера Банка. </w:t>
      </w:r>
    </w:p>
    <w:p w:rsidR="009B5279" w:rsidRPr="009B5279" w:rsidRDefault="009B5279" w:rsidP="009B5279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6.4.</w:t>
      </w:r>
      <w:r w:rsidRPr="009B5279">
        <w:rPr>
          <w:color w:val="000000"/>
          <w:sz w:val="22"/>
          <w:szCs w:val="22"/>
        </w:rPr>
        <w:tab/>
        <w:t>Клиент обязуется: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6.4.1.</w:t>
      </w:r>
      <w:r w:rsidRPr="009B5279">
        <w:rPr>
          <w:color w:val="000000"/>
          <w:sz w:val="22"/>
          <w:szCs w:val="22"/>
        </w:rPr>
        <w:tab/>
        <w:t xml:space="preserve">Не проводить с использованием Карт операции, связанные с осуществлением предпринимательской деятельности или частной практики. 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6.4.2.</w:t>
      </w:r>
      <w:r w:rsidRPr="009B5279">
        <w:rPr>
          <w:color w:val="000000"/>
          <w:sz w:val="22"/>
          <w:szCs w:val="22"/>
        </w:rPr>
        <w:tab/>
        <w:t xml:space="preserve">Не передавать реквизиты Карт третьим лицам. 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6.4.3.</w:t>
      </w:r>
      <w:r w:rsidRPr="009B5279">
        <w:rPr>
          <w:color w:val="000000"/>
          <w:sz w:val="22"/>
          <w:szCs w:val="22"/>
        </w:rPr>
        <w:tab/>
        <w:t xml:space="preserve">Своевременно и в полном объеме до момента Присоединения к Договору ознакомиться с условиями Договора и суммой Комиссии. 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6.4.4.</w:t>
      </w:r>
      <w:r w:rsidRPr="009B5279">
        <w:rPr>
          <w:color w:val="000000"/>
          <w:sz w:val="22"/>
          <w:szCs w:val="22"/>
        </w:rPr>
        <w:tab/>
        <w:t xml:space="preserve">Оплатить Услугу в сумме Комиссии. 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6.4.5.</w:t>
      </w:r>
      <w:r w:rsidRPr="009B5279">
        <w:rPr>
          <w:color w:val="000000"/>
          <w:sz w:val="22"/>
          <w:szCs w:val="22"/>
        </w:rPr>
        <w:tab/>
        <w:t xml:space="preserve">Не осуществлять операции, связанные с легализацией преступных доходов, содержащие в соответствии с документами Банка России признаки необычных операций либо операции, несущие репутационные риски для Банка. 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6.4.6.</w:t>
      </w:r>
      <w:r w:rsidRPr="009B5279">
        <w:rPr>
          <w:color w:val="000000"/>
          <w:sz w:val="22"/>
          <w:szCs w:val="22"/>
        </w:rPr>
        <w:tab/>
        <w:t xml:space="preserve">При Переводе с карты на карту предоставить достоверную информацию, запрашиваемую Банком. </w:t>
      </w:r>
    </w:p>
    <w:p w:rsidR="009B5279" w:rsidRPr="009B5279" w:rsidRDefault="009B5279" w:rsidP="009B5279">
      <w:pPr>
        <w:autoSpaceDE w:val="0"/>
        <w:autoSpaceDN w:val="0"/>
        <w:adjustRightInd w:val="0"/>
        <w:ind w:left="1080" w:hanging="72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6.4.7.</w:t>
      </w:r>
      <w:r w:rsidRPr="009B5279">
        <w:rPr>
          <w:color w:val="000000"/>
          <w:sz w:val="22"/>
          <w:szCs w:val="22"/>
        </w:rPr>
        <w:tab/>
        <w:t>Осуществлять операции, связанные с переводом денежных средств, предусмотренные Договором, в строгом соответствии с законодательством РФ.</w:t>
      </w:r>
    </w:p>
    <w:p w:rsidR="009B5279" w:rsidRPr="009B5279" w:rsidRDefault="009B5279" w:rsidP="009B52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 xml:space="preserve"> </w:t>
      </w:r>
    </w:p>
    <w:p w:rsidR="009B5279" w:rsidRP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b/>
          <w:bCs/>
          <w:color w:val="000000"/>
          <w:sz w:val="22"/>
          <w:szCs w:val="22"/>
        </w:rPr>
      </w:pPr>
      <w:r w:rsidRPr="009B5279">
        <w:rPr>
          <w:b/>
          <w:bCs/>
          <w:color w:val="000000"/>
          <w:sz w:val="22"/>
          <w:szCs w:val="22"/>
        </w:rPr>
        <w:t>7.</w:t>
      </w:r>
      <w:r w:rsidRPr="009B5279">
        <w:rPr>
          <w:b/>
          <w:bCs/>
          <w:color w:val="000000"/>
          <w:sz w:val="22"/>
          <w:szCs w:val="22"/>
        </w:rPr>
        <w:tab/>
        <w:t>Рассмотрение споров и предъявление претензий</w:t>
      </w:r>
    </w:p>
    <w:p w:rsidR="009B5279" w:rsidRPr="009B5279" w:rsidRDefault="009B5279" w:rsidP="009B5279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</w:rPr>
      </w:pP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7.1.</w:t>
      </w:r>
      <w:r w:rsidRPr="009B5279">
        <w:rPr>
          <w:color w:val="000000"/>
          <w:sz w:val="22"/>
          <w:szCs w:val="22"/>
        </w:rPr>
        <w:tab/>
        <w:t>Договор регулируется и толкуется в соответствии с законодательством РФ.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7.2.</w:t>
      </w:r>
      <w:r w:rsidRPr="009B5279">
        <w:rPr>
          <w:color w:val="000000"/>
          <w:sz w:val="22"/>
          <w:szCs w:val="22"/>
        </w:rPr>
        <w:tab/>
        <w:t>Все вопросы, разногласия или требования, возникающие из Договора или в связи с ним, подлежат урегулированию Сторонами путем переговоров. При отсутствии согласия споры и разногласия по Договору подлежат рассмотрению в соответствии с Гражданским процессуальным кодексом РФ.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7.3.</w:t>
      </w:r>
      <w:r w:rsidRPr="009B5279">
        <w:rPr>
          <w:color w:val="000000"/>
          <w:sz w:val="22"/>
          <w:szCs w:val="22"/>
        </w:rPr>
        <w:tab/>
        <w:t xml:space="preserve"> При возникновении разногласий, связанных с исполнением Договора, Клиент обязан предъявить претензию в Банк по адресу Банка, указанному в разделе 8 </w:t>
      </w:r>
      <w:r w:rsidR="00986F55">
        <w:rPr>
          <w:color w:val="000000"/>
          <w:sz w:val="22"/>
          <w:szCs w:val="22"/>
        </w:rPr>
        <w:t>Условий</w:t>
      </w:r>
      <w:r w:rsidRPr="009B5279">
        <w:rPr>
          <w:color w:val="000000"/>
          <w:sz w:val="22"/>
          <w:szCs w:val="22"/>
        </w:rPr>
        <w:t xml:space="preserve"> в письменной форме. Претензия может быть передана лично, с нарочным, либо направлена способом, обеспечивающим ее получение Банком и возможностью подтверждения факта отправки и даты ее получения контрагентом. </w:t>
      </w:r>
    </w:p>
    <w:p w:rsidR="009B5279" w:rsidRPr="009B5279" w:rsidRDefault="009B5279" w:rsidP="009B5279">
      <w:pPr>
        <w:autoSpaceDE w:val="0"/>
        <w:autoSpaceDN w:val="0"/>
        <w:adjustRightInd w:val="0"/>
        <w:ind w:left="765" w:hanging="405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>7.4.</w:t>
      </w:r>
      <w:r w:rsidRPr="009B5279">
        <w:rPr>
          <w:color w:val="000000"/>
          <w:sz w:val="22"/>
          <w:szCs w:val="22"/>
        </w:rPr>
        <w:tab/>
        <w:t xml:space="preserve"> Претензия Клиента, кроме описания существа требования, должна содержать в себе следующие необходимые сведения:</w:t>
      </w:r>
    </w:p>
    <w:p w:rsidR="009B5279" w:rsidRPr="009B5279" w:rsidRDefault="009B5279" w:rsidP="009B527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B5279">
        <w:rPr>
          <w:sz w:val="22"/>
          <w:szCs w:val="22"/>
        </w:rPr>
        <w:t>- дата претензии, ФИО Клиента, паспортные данные Клиента, адрес места его проживания и контактный телефон, иные контактные данные Клиента;</w:t>
      </w:r>
    </w:p>
    <w:p w:rsidR="009B5279" w:rsidRPr="009B5279" w:rsidRDefault="009B5279" w:rsidP="009B527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B5279">
        <w:rPr>
          <w:sz w:val="22"/>
          <w:szCs w:val="22"/>
        </w:rPr>
        <w:t>- описание обстоятельств, рассматриваемых Клиентом как нарушение Договорных обязательств.</w:t>
      </w:r>
    </w:p>
    <w:p w:rsidR="009B5279" w:rsidRPr="009B5279" w:rsidRDefault="009B5279" w:rsidP="009B527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 xml:space="preserve">К претензии прикладываются документы, подтверждающие ее обоснованность (при их наличии).  </w:t>
      </w:r>
    </w:p>
    <w:p w:rsidR="009B5279" w:rsidRPr="009B5279" w:rsidRDefault="009B5279" w:rsidP="009B5279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 xml:space="preserve">7.5. Срок рассмотрения претензии составляет не более 30 календарных дней с момента ее получения Банком, при условии своевременного и полного предоставления Клиентом всех необходимых для рассмотрения претензии документов/сведений. При уклонении от предоставления сведений/документов срок рассмотрения претензии пролонгируется на период до момента устранения данных причин, либо до момента установления факта невозможности получения таких сведений/документов.   </w:t>
      </w:r>
    </w:p>
    <w:p w:rsidR="009B5279" w:rsidRPr="009B5279" w:rsidRDefault="009B5279" w:rsidP="009B5279">
      <w:pPr>
        <w:autoSpaceDE w:val="0"/>
        <w:autoSpaceDN w:val="0"/>
        <w:adjustRightInd w:val="0"/>
        <w:ind w:firstLine="540"/>
        <w:rPr>
          <w:color w:val="000000"/>
          <w:sz w:val="22"/>
          <w:szCs w:val="22"/>
        </w:rPr>
      </w:pPr>
      <w:r w:rsidRPr="009B5279">
        <w:rPr>
          <w:color w:val="000000"/>
          <w:sz w:val="22"/>
          <w:szCs w:val="22"/>
        </w:rPr>
        <w:t xml:space="preserve">О результатах рассмотрения претензии Банк сообщает Клиенту в письменной форме по адресу, указанному Клиентом в претензии. </w:t>
      </w:r>
    </w:p>
    <w:p w:rsidR="009B5279" w:rsidRPr="009B5279" w:rsidRDefault="009B5279" w:rsidP="009B5279">
      <w:pPr>
        <w:autoSpaceDE w:val="0"/>
        <w:autoSpaceDN w:val="0"/>
        <w:adjustRightInd w:val="0"/>
        <w:ind w:left="765"/>
        <w:jc w:val="both"/>
        <w:rPr>
          <w:color w:val="000000"/>
          <w:sz w:val="22"/>
          <w:szCs w:val="22"/>
        </w:rPr>
      </w:pPr>
    </w:p>
    <w:p w:rsidR="009B5279" w:rsidRPr="009B5279" w:rsidRDefault="009B5279" w:rsidP="009B5279">
      <w:pPr>
        <w:autoSpaceDE w:val="0"/>
        <w:autoSpaceDN w:val="0"/>
        <w:adjustRightInd w:val="0"/>
        <w:ind w:left="720" w:hanging="360"/>
        <w:jc w:val="both"/>
        <w:rPr>
          <w:b/>
          <w:bCs/>
          <w:color w:val="000000"/>
          <w:sz w:val="22"/>
          <w:szCs w:val="22"/>
        </w:rPr>
      </w:pPr>
      <w:r w:rsidRPr="009B5279">
        <w:rPr>
          <w:b/>
          <w:bCs/>
          <w:color w:val="000000"/>
          <w:sz w:val="22"/>
          <w:szCs w:val="22"/>
        </w:rPr>
        <w:t>8.</w:t>
      </w:r>
      <w:r w:rsidRPr="009B5279">
        <w:rPr>
          <w:b/>
          <w:bCs/>
          <w:color w:val="000000"/>
          <w:sz w:val="22"/>
          <w:szCs w:val="22"/>
        </w:rPr>
        <w:tab/>
        <w:t>Реквизиты Банка</w:t>
      </w:r>
    </w:p>
    <w:p w:rsidR="009B5279" w:rsidRDefault="009B5279" w:rsidP="009B5279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</w:rPr>
      </w:pPr>
    </w:p>
    <w:p w:rsidR="00C5230C" w:rsidRPr="00C5230C" w:rsidRDefault="00C5230C" w:rsidP="00C5230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C5230C">
        <w:rPr>
          <w:color w:val="000000"/>
          <w:sz w:val="22"/>
          <w:szCs w:val="22"/>
        </w:rPr>
        <w:t>ПАО "</w:t>
      </w:r>
      <w:proofErr w:type="spellStart"/>
      <w:r w:rsidRPr="00C5230C">
        <w:rPr>
          <w:color w:val="000000"/>
          <w:sz w:val="22"/>
          <w:szCs w:val="22"/>
        </w:rPr>
        <w:t>Совкомбанк</w:t>
      </w:r>
      <w:proofErr w:type="spellEnd"/>
      <w:r w:rsidRPr="00C5230C">
        <w:rPr>
          <w:color w:val="000000"/>
          <w:sz w:val="22"/>
          <w:szCs w:val="22"/>
        </w:rPr>
        <w:t>"</w:t>
      </w:r>
    </w:p>
    <w:p w:rsidR="00C5230C" w:rsidRPr="00C5230C" w:rsidRDefault="00C5230C" w:rsidP="00C5230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C5230C">
        <w:rPr>
          <w:color w:val="000000"/>
          <w:sz w:val="22"/>
          <w:szCs w:val="22"/>
        </w:rPr>
        <w:t>Местонахождение: 156000, г. Кострома, проспект Текстильщиков, д. 46</w:t>
      </w:r>
    </w:p>
    <w:p w:rsidR="00C5230C" w:rsidRPr="00C5230C" w:rsidRDefault="00C5230C" w:rsidP="00C5230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C5230C">
        <w:rPr>
          <w:color w:val="000000"/>
          <w:sz w:val="22"/>
          <w:szCs w:val="22"/>
        </w:rPr>
        <w:t>ИНН 4401116480, КПП 440101001, ОГРН 1144400000425, ОКПО 09139030</w:t>
      </w:r>
    </w:p>
    <w:p w:rsidR="00C5230C" w:rsidRPr="00C5230C" w:rsidRDefault="00C5230C" w:rsidP="00C5230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C5230C">
        <w:rPr>
          <w:color w:val="000000"/>
          <w:sz w:val="22"/>
          <w:szCs w:val="22"/>
        </w:rPr>
        <w:t>Кор/с 30101810300000000743 в Отделении по Костромской области ГУ ЦБ РФ по</w:t>
      </w:r>
    </w:p>
    <w:p w:rsidR="00C5230C" w:rsidRPr="00C5230C" w:rsidRDefault="00C5230C" w:rsidP="00C5230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C5230C">
        <w:rPr>
          <w:color w:val="000000"/>
          <w:sz w:val="22"/>
          <w:szCs w:val="22"/>
        </w:rPr>
        <w:t>Центральному федеральному округу (Отделение Кострома), БИК 043469743</w:t>
      </w:r>
    </w:p>
    <w:p w:rsidR="00C5230C" w:rsidRPr="00C5230C" w:rsidRDefault="00C5230C" w:rsidP="00C5230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C5230C">
        <w:rPr>
          <w:color w:val="000000"/>
          <w:sz w:val="22"/>
          <w:szCs w:val="22"/>
        </w:rPr>
        <w:t>Тел.: (4942) 39-09-09, факс: (4942) 39-09-09</w:t>
      </w:r>
    </w:p>
    <w:p w:rsidR="009B5279" w:rsidRPr="009B5279" w:rsidRDefault="009B5279" w:rsidP="009B5279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</w:p>
    <w:p w:rsidR="006A2A48" w:rsidRPr="00401089" w:rsidRDefault="006A2A48" w:rsidP="00401089">
      <w:pPr>
        <w:rPr>
          <w:sz w:val="22"/>
          <w:szCs w:val="22"/>
        </w:rPr>
      </w:pPr>
    </w:p>
    <w:sectPr w:rsidR="006A2A48" w:rsidRPr="00401089" w:rsidSect="009B52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279"/>
    <w:rsid w:val="00005A0A"/>
    <w:rsid w:val="000759B4"/>
    <w:rsid w:val="000A3C43"/>
    <w:rsid w:val="000B6CC8"/>
    <w:rsid w:val="000F4DFD"/>
    <w:rsid w:val="000F6740"/>
    <w:rsid w:val="001079D2"/>
    <w:rsid w:val="001145EE"/>
    <w:rsid w:val="00114F96"/>
    <w:rsid w:val="001221D8"/>
    <w:rsid w:val="00123FB8"/>
    <w:rsid w:val="00127135"/>
    <w:rsid w:val="001372EC"/>
    <w:rsid w:val="001616CD"/>
    <w:rsid w:val="00162D05"/>
    <w:rsid w:val="001A4794"/>
    <w:rsid w:val="001B7E4A"/>
    <w:rsid w:val="001D15C4"/>
    <w:rsid w:val="001E32B4"/>
    <w:rsid w:val="001F5079"/>
    <w:rsid w:val="00237E4A"/>
    <w:rsid w:val="002456E5"/>
    <w:rsid w:val="002468E1"/>
    <w:rsid w:val="00255F04"/>
    <w:rsid w:val="00261836"/>
    <w:rsid w:val="002747EC"/>
    <w:rsid w:val="002751A8"/>
    <w:rsid w:val="00276850"/>
    <w:rsid w:val="00287634"/>
    <w:rsid w:val="002C6D35"/>
    <w:rsid w:val="002D50CA"/>
    <w:rsid w:val="002E21AE"/>
    <w:rsid w:val="002E62CD"/>
    <w:rsid w:val="0030347B"/>
    <w:rsid w:val="00310EFA"/>
    <w:rsid w:val="003C11D6"/>
    <w:rsid w:val="003C45D4"/>
    <w:rsid w:val="003D6E28"/>
    <w:rsid w:val="003E5DC9"/>
    <w:rsid w:val="003E706B"/>
    <w:rsid w:val="003F1041"/>
    <w:rsid w:val="00401089"/>
    <w:rsid w:val="00416789"/>
    <w:rsid w:val="00421918"/>
    <w:rsid w:val="00424CDC"/>
    <w:rsid w:val="00447D48"/>
    <w:rsid w:val="00496001"/>
    <w:rsid w:val="00497ADE"/>
    <w:rsid w:val="004A18E3"/>
    <w:rsid w:val="004B3511"/>
    <w:rsid w:val="004D5967"/>
    <w:rsid w:val="004D7357"/>
    <w:rsid w:val="004E4591"/>
    <w:rsid w:val="004F08EA"/>
    <w:rsid w:val="004F1EB1"/>
    <w:rsid w:val="00532026"/>
    <w:rsid w:val="00534B1E"/>
    <w:rsid w:val="00537DDB"/>
    <w:rsid w:val="00544C00"/>
    <w:rsid w:val="00556F46"/>
    <w:rsid w:val="00564611"/>
    <w:rsid w:val="005715C7"/>
    <w:rsid w:val="0059052F"/>
    <w:rsid w:val="00591471"/>
    <w:rsid w:val="005A6D6E"/>
    <w:rsid w:val="005C0B1B"/>
    <w:rsid w:val="005F4649"/>
    <w:rsid w:val="0060557E"/>
    <w:rsid w:val="0061787B"/>
    <w:rsid w:val="006263B9"/>
    <w:rsid w:val="00647567"/>
    <w:rsid w:val="00651758"/>
    <w:rsid w:val="00655F2A"/>
    <w:rsid w:val="00660A92"/>
    <w:rsid w:val="006743A0"/>
    <w:rsid w:val="00693FFC"/>
    <w:rsid w:val="006A2A48"/>
    <w:rsid w:val="006A3C88"/>
    <w:rsid w:val="006B26D0"/>
    <w:rsid w:val="006B63E2"/>
    <w:rsid w:val="006E5E9E"/>
    <w:rsid w:val="0071210D"/>
    <w:rsid w:val="00712D3A"/>
    <w:rsid w:val="00720C5A"/>
    <w:rsid w:val="00744F97"/>
    <w:rsid w:val="0079043F"/>
    <w:rsid w:val="00791F88"/>
    <w:rsid w:val="00793227"/>
    <w:rsid w:val="007A077A"/>
    <w:rsid w:val="007B37C6"/>
    <w:rsid w:val="007C0392"/>
    <w:rsid w:val="007E2177"/>
    <w:rsid w:val="007E3EB1"/>
    <w:rsid w:val="007F6E22"/>
    <w:rsid w:val="00805F5A"/>
    <w:rsid w:val="008143BC"/>
    <w:rsid w:val="00826DF6"/>
    <w:rsid w:val="008357BE"/>
    <w:rsid w:val="00851D3A"/>
    <w:rsid w:val="00877978"/>
    <w:rsid w:val="008915BC"/>
    <w:rsid w:val="008A5380"/>
    <w:rsid w:val="008B012D"/>
    <w:rsid w:val="008B1F9D"/>
    <w:rsid w:val="008B2F06"/>
    <w:rsid w:val="008C7E98"/>
    <w:rsid w:val="008E0C2C"/>
    <w:rsid w:val="008E2C29"/>
    <w:rsid w:val="008E33C9"/>
    <w:rsid w:val="008E4838"/>
    <w:rsid w:val="008F64F9"/>
    <w:rsid w:val="0091368D"/>
    <w:rsid w:val="00927DCE"/>
    <w:rsid w:val="00936E24"/>
    <w:rsid w:val="00985F21"/>
    <w:rsid w:val="00986F55"/>
    <w:rsid w:val="009B5279"/>
    <w:rsid w:val="00A030C9"/>
    <w:rsid w:val="00A06E1D"/>
    <w:rsid w:val="00A12E27"/>
    <w:rsid w:val="00A13B0C"/>
    <w:rsid w:val="00A21ED4"/>
    <w:rsid w:val="00A51977"/>
    <w:rsid w:val="00A55E32"/>
    <w:rsid w:val="00A560A5"/>
    <w:rsid w:val="00A637AE"/>
    <w:rsid w:val="00A7717B"/>
    <w:rsid w:val="00A80F7F"/>
    <w:rsid w:val="00A9661B"/>
    <w:rsid w:val="00AA3121"/>
    <w:rsid w:val="00AA5491"/>
    <w:rsid w:val="00AA72EB"/>
    <w:rsid w:val="00AD346A"/>
    <w:rsid w:val="00AE05BD"/>
    <w:rsid w:val="00AF4B2C"/>
    <w:rsid w:val="00AF6C0D"/>
    <w:rsid w:val="00B04985"/>
    <w:rsid w:val="00B5195A"/>
    <w:rsid w:val="00BA52CE"/>
    <w:rsid w:val="00BD49F3"/>
    <w:rsid w:val="00BE68D7"/>
    <w:rsid w:val="00C0799C"/>
    <w:rsid w:val="00C13414"/>
    <w:rsid w:val="00C1788F"/>
    <w:rsid w:val="00C31442"/>
    <w:rsid w:val="00C3568E"/>
    <w:rsid w:val="00C5230C"/>
    <w:rsid w:val="00C74D17"/>
    <w:rsid w:val="00CB65D2"/>
    <w:rsid w:val="00CC012F"/>
    <w:rsid w:val="00CC3A8C"/>
    <w:rsid w:val="00CD2772"/>
    <w:rsid w:val="00CE7B83"/>
    <w:rsid w:val="00CF1E14"/>
    <w:rsid w:val="00D01ECB"/>
    <w:rsid w:val="00D14B4E"/>
    <w:rsid w:val="00D14FB4"/>
    <w:rsid w:val="00D36A91"/>
    <w:rsid w:val="00D37853"/>
    <w:rsid w:val="00D47F8C"/>
    <w:rsid w:val="00D61D8F"/>
    <w:rsid w:val="00D76C49"/>
    <w:rsid w:val="00D85A92"/>
    <w:rsid w:val="00DC3AB9"/>
    <w:rsid w:val="00DC7846"/>
    <w:rsid w:val="00DE49B1"/>
    <w:rsid w:val="00E05A0F"/>
    <w:rsid w:val="00E1202F"/>
    <w:rsid w:val="00E375A6"/>
    <w:rsid w:val="00E507DD"/>
    <w:rsid w:val="00E5116D"/>
    <w:rsid w:val="00EA0BEE"/>
    <w:rsid w:val="00F25D2E"/>
    <w:rsid w:val="00F362E6"/>
    <w:rsid w:val="00F5155F"/>
    <w:rsid w:val="00F60D42"/>
    <w:rsid w:val="00F63D46"/>
    <w:rsid w:val="00F77185"/>
    <w:rsid w:val="00FB6FBA"/>
    <w:rsid w:val="00FC30E7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2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"/>
    <w:basedOn w:val="a"/>
    <w:rsid w:val="00C523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АККСБ "КС-БАНК" (ОАО)</Company>
  <LinksUpToDate>false</LinksUpToDate>
  <CharactersWithSpaces>19256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tvv</dc:creator>
  <cp:lastModifiedBy>А&amp;Н</cp:lastModifiedBy>
  <cp:revision>2</cp:revision>
  <cp:lastPrinted>2017-02-17T12:21:00Z</cp:lastPrinted>
  <dcterms:created xsi:type="dcterms:W3CDTF">2019-07-16T18:13:00Z</dcterms:created>
  <dcterms:modified xsi:type="dcterms:W3CDTF">2019-07-16T18:13:00Z</dcterms:modified>
</cp:coreProperties>
</file>