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Яндекс.Деньги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 xml:space="preserve">1.13. Общие условия – настоящие Общие условия договора потребительского займа ООО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Яндекс.Деньги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w:t>
      </w:r>
      <w:proofErr w:type="spellStart"/>
      <w:r w:rsidRPr="005B5EE4">
        <w:t>Яндекс.Деньги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заключении Договора.</w:t>
      </w:r>
    </w:p>
    <w:p w:rsidR="005B5EE4" w:rsidRDefault="005B5EE4" w:rsidP="005B5EE4">
      <w:r w:rsidRPr="005B5EE4">
        <w:t>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Яндекс.Деньги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Яндекс.Деньги</w:t>
      </w:r>
      <w:proofErr w:type="spellEnd"/>
      <w:r w:rsidRPr="005B5EE4">
        <w:t xml:space="preserve">», либо на предоплаченной банковской карте международной платежной системы, эмитированной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годовых – по Нецелевому займу; </w:t>
      </w:r>
    </w:p>
    <w:p w:rsidR="005B5EE4" w:rsidRDefault="005B5EE4" w:rsidP="005B5EE4">
      <w:r w:rsidRPr="005B5EE4">
        <w:t>6.1.2. в размере 36,5 % годовых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
    <w:p w:rsidR="005B5EE4" w:rsidRDefault="005B5EE4" w:rsidP="005B5EE4">
      <w:r w:rsidRPr="005B5EE4">
        <w:t xml:space="preserve">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6E7549"/>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2019-11-20T17:32:00Z</dcterms:created>
  <dcterms:modified xsi:type="dcterms:W3CDTF">2019-11-20T17:32:00Z</dcterms:modified>
</cp:coreProperties>
</file>