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18" w:rsidRDefault="009F7418" w:rsidP="009F7418">
      <w:pPr>
        <w:pStyle w:val="1"/>
      </w:pPr>
      <w:r>
        <w:t>ГК РФ Статья 348. Основания обращения</w:t>
      </w:r>
      <w:bookmarkStart w:id="0" w:name="_GoBack"/>
      <w:bookmarkEnd w:id="0"/>
      <w:r>
        <w:t xml:space="preserve"> взыскания на заложенное имущество</w:t>
      </w:r>
    </w:p>
    <w:p w:rsidR="009F7418" w:rsidRDefault="009F7418" w:rsidP="009F7418">
      <w:r>
        <w:t>(в ред. Федерального закона от 21.12.2013 N 367-ФЗ)</w:t>
      </w:r>
    </w:p>
    <w:p w:rsidR="009F7418" w:rsidRDefault="009F7418" w:rsidP="009F7418"/>
    <w:p w:rsidR="009F7418" w:rsidRDefault="009F7418" w:rsidP="009F7418">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F7418" w:rsidRDefault="009F7418" w:rsidP="009F7418">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F7418" w:rsidRDefault="009F7418" w:rsidP="009F7418">
      <w:r>
        <w:t>1) сумма неисполненного обязательства составляет менее чем пять процентов от размера стоимости заложенного имущества;</w:t>
      </w:r>
    </w:p>
    <w:p w:rsidR="009F7418" w:rsidRDefault="009F7418" w:rsidP="009F7418">
      <w:r>
        <w:t>2) период просрочки исполнения обязательства, обеспеченного залогом, составляет менее чем три месяца.</w:t>
      </w:r>
    </w:p>
    <w:p w:rsidR="009F7418" w:rsidRDefault="009F7418" w:rsidP="009F7418">
      <w:r>
        <w:t xml:space="preserve">3. </w:t>
      </w:r>
      <w:proofErr w:type="gramStart"/>
      <w: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w:t>
      </w:r>
      <w:proofErr w:type="gramEnd"/>
      <w:r>
        <w:t>, что каждая просрочка незначительна.</w:t>
      </w:r>
    </w:p>
    <w:p w:rsidR="00322D6B" w:rsidRDefault="009F7418" w:rsidP="009F7418">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sectPr w:rsidR="0032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18"/>
    <w:rsid w:val="00322D6B"/>
    <w:rsid w:val="009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7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4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7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4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2020-06-01T10:50:00Z</dcterms:created>
  <dcterms:modified xsi:type="dcterms:W3CDTF">2020-06-01T10:51:00Z</dcterms:modified>
</cp:coreProperties>
</file>